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DF106" w14:textId="725E4186" w:rsidR="002D7309" w:rsidRDefault="002D7309" w:rsidP="00925227">
      <w:pPr>
        <w:jc w:val="center"/>
        <w:rPr>
          <w:noProof/>
        </w:rPr>
      </w:pPr>
    </w:p>
    <w:p w14:paraId="2504B09C" w14:textId="13FEC55A" w:rsidR="00EB2C2D" w:rsidRDefault="00EB2C2D" w:rsidP="00925227">
      <w:pPr>
        <w:jc w:val="center"/>
        <w:rPr>
          <w:noProof/>
        </w:rPr>
      </w:pPr>
    </w:p>
    <w:p w14:paraId="2FE5C957" w14:textId="1D69D890" w:rsidR="00EB2C2D" w:rsidRDefault="00EB2C2D" w:rsidP="00925227">
      <w:pPr>
        <w:jc w:val="center"/>
        <w:rPr>
          <w:noProof/>
        </w:rPr>
      </w:pPr>
    </w:p>
    <w:p w14:paraId="00A5CA82" w14:textId="015C210B" w:rsidR="00EB2C2D" w:rsidRDefault="00EB2C2D" w:rsidP="00925227">
      <w:pPr>
        <w:jc w:val="center"/>
      </w:pPr>
      <w:r w:rsidRPr="00C230F3">
        <w:rPr>
          <w:noProof/>
          <w:bdr w:val="single" w:sz="4" w:space="0" w:color="auto"/>
        </w:rPr>
        <w:drawing>
          <wp:inline distT="0" distB="0" distL="0" distR="0" wp14:anchorId="42C003C3" wp14:editId="36723F2D">
            <wp:extent cx="4775534" cy="7315200"/>
            <wp:effectExtent l="19050" t="19050" r="2540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75534" cy="7315200"/>
                    </a:xfrm>
                    <a:prstGeom prst="rect">
                      <a:avLst/>
                    </a:prstGeom>
                    <a:noFill/>
                    <a:ln>
                      <a:solidFill>
                        <a:schemeClr val="tx1"/>
                      </a:solidFill>
                    </a:ln>
                  </pic:spPr>
                </pic:pic>
              </a:graphicData>
            </a:graphic>
          </wp:inline>
        </w:drawing>
      </w:r>
    </w:p>
    <w:p w14:paraId="466C5CFE" w14:textId="3EC9167C" w:rsidR="00EB2C2D" w:rsidRDefault="00EB2C2D" w:rsidP="00925227">
      <w:pPr>
        <w:jc w:val="center"/>
      </w:pPr>
      <w:r w:rsidRPr="00C230F3">
        <w:rPr>
          <w:noProof/>
          <w:bdr w:val="single" w:sz="4" w:space="0" w:color="auto"/>
        </w:rPr>
        <w:lastRenderedPageBreak/>
        <w:drawing>
          <wp:inline distT="0" distB="0" distL="0" distR="0" wp14:anchorId="3A00B2DA" wp14:editId="590649E6">
            <wp:extent cx="4721063" cy="7315200"/>
            <wp:effectExtent l="19050" t="19050" r="22860"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21063" cy="7315200"/>
                    </a:xfrm>
                    <a:prstGeom prst="rect">
                      <a:avLst/>
                    </a:prstGeom>
                    <a:noFill/>
                    <a:ln>
                      <a:solidFill>
                        <a:schemeClr val="tx1"/>
                      </a:solidFill>
                    </a:ln>
                  </pic:spPr>
                </pic:pic>
              </a:graphicData>
            </a:graphic>
          </wp:inline>
        </w:drawing>
      </w:r>
    </w:p>
    <w:p w14:paraId="4370567C" w14:textId="47B298CE" w:rsidR="00EB2C2D" w:rsidRDefault="00EB2C2D" w:rsidP="00925227">
      <w:pPr>
        <w:jc w:val="center"/>
      </w:pPr>
    </w:p>
    <w:p w14:paraId="299CF4CC" w14:textId="01978AA4" w:rsidR="00EB2C2D" w:rsidRDefault="00EB2C2D" w:rsidP="00925227">
      <w:pPr>
        <w:jc w:val="center"/>
      </w:pPr>
      <w:r w:rsidRPr="00C230F3">
        <w:rPr>
          <w:noProof/>
          <w:bdr w:val="single" w:sz="4" w:space="0" w:color="auto"/>
        </w:rPr>
        <w:lastRenderedPageBreak/>
        <w:drawing>
          <wp:inline distT="0" distB="0" distL="0" distR="0" wp14:anchorId="4E54CF3A" wp14:editId="5A3FB9FB">
            <wp:extent cx="4990011" cy="7772400"/>
            <wp:effectExtent l="19050" t="19050" r="20320"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90011" cy="7772400"/>
                    </a:xfrm>
                    <a:prstGeom prst="rect">
                      <a:avLst/>
                    </a:prstGeom>
                    <a:noFill/>
                    <a:ln>
                      <a:solidFill>
                        <a:schemeClr val="tx1"/>
                      </a:solidFill>
                    </a:ln>
                  </pic:spPr>
                </pic:pic>
              </a:graphicData>
            </a:graphic>
          </wp:inline>
        </w:drawing>
      </w:r>
    </w:p>
    <w:p w14:paraId="2DAE5892" w14:textId="1488AC37" w:rsidR="00EB2C2D" w:rsidRDefault="00EB2C2D" w:rsidP="00925227">
      <w:pPr>
        <w:jc w:val="center"/>
      </w:pPr>
    </w:p>
    <w:p w14:paraId="5A436A6C" w14:textId="136C72AD" w:rsidR="00EB2C2D" w:rsidRDefault="00DC0FF5" w:rsidP="00925227">
      <w:pPr>
        <w:jc w:val="center"/>
      </w:pPr>
      <w:r w:rsidRPr="00C230F3">
        <w:rPr>
          <w:noProof/>
          <w:bdr w:val="single" w:sz="4" w:space="0" w:color="auto"/>
        </w:rPr>
        <w:lastRenderedPageBreak/>
        <w:drawing>
          <wp:inline distT="0" distB="0" distL="0" distR="0" wp14:anchorId="0A9F2F57" wp14:editId="0B176397">
            <wp:extent cx="5003081" cy="7772400"/>
            <wp:effectExtent l="19050" t="19050" r="26670" b="190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03081" cy="7772400"/>
                    </a:xfrm>
                    <a:prstGeom prst="rect">
                      <a:avLst/>
                    </a:prstGeom>
                    <a:noFill/>
                    <a:ln>
                      <a:solidFill>
                        <a:schemeClr val="tx1"/>
                      </a:solidFill>
                    </a:ln>
                  </pic:spPr>
                </pic:pic>
              </a:graphicData>
            </a:graphic>
          </wp:inline>
        </w:drawing>
      </w:r>
    </w:p>
    <w:p w14:paraId="42781F27" w14:textId="154FFFE0" w:rsidR="00DC0FF5" w:rsidRDefault="00DC0FF5" w:rsidP="00925227">
      <w:pPr>
        <w:jc w:val="center"/>
      </w:pPr>
    </w:p>
    <w:p w14:paraId="3917ECA6" w14:textId="4EC6AE8A" w:rsidR="00DC0FF5" w:rsidRDefault="00DC0FF5" w:rsidP="00925227">
      <w:pPr>
        <w:jc w:val="center"/>
      </w:pPr>
      <w:r w:rsidRPr="00C230F3">
        <w:rPr>
          <w:noProof/>
          <w:bdr w:val="single" w:sz="4" w:space="0" w:color="auto"/>
        </w:rPr>
        <w:lastRenderedPageBreak/>
        <w:drawing>
          <wp:inline distT="0" distB="0" distL="0" distR="0" wp14:anchorId="2D988A04" wp14:editId="47FD557F">
            <wp:extent cx="4963894" cy="7772400"/>
            <wp:effectExtent l="19050" t="19050" r="27305" b="190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63894" cy="7772400"/>
                    </a:xfrm>
                    <a:prstGeom prst="rect">
                      <a:avLst/>
                    </a:prstGeom>
                    <a:noFill/>
                    <a:ln>
                      <a:solidFill>
                        <a:schemeClr val="tx1"/>
                      </a:solidFill>
                    </a:ln>
                  </pic:spPr>
                </pic:pic>
              </a:graphicData>
            </a:graphic>
          </wp:inline>
        </w:drawing>
      </w:r>
    </w:p>
    <w:p w14:paraId="3722D055" w14:textId="4D9F0B72" w:rsidR="00DC0FF5" w:rsidRDefault="00DC0FF5" w:rsidP="00925227">
      <w:pPr>
        <w:jc w:val="center"/>
      </w:pPr>
    </w:p>
    <w:p w14:paraId="6986E197" w14:textId="033519EB" w:rsidR="00DC0FF5" w:rsidRDefault="00DC0FF5" w:rsidP="00925227">
      <w:pPr>
        <w:jc w:val="center"/>
      </w:pPr>
      <w:r>
        <w:rPr>
          <w:noProof/>
        </w:rPr>
        <w:lastRenderedPageBreak/>
        <w:drawing>
          <wp:inline distT="0" distB="0" distL="0" distR="0" wp14:anchorId="013215EB" wp14:editId="314138B5">
            <wp:extent cx="4985329" cy="7772400"/>
            <wp:effectExtent l="19050" t="19050" r="25400" b="190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85329" cy="7772400"/>
                    </a:xfrm>
                    <a:prstGeom prst="rect">
                      <a:avLst/>
                    </a:prstGeom>
                    <a:noFill/>
                    <a:ln>
                      <a:solidFill>
                        <a:schemeClr val="tx1"/>
                      </a:solidFill>
                    </a:ln>
                  </pic:spPr>
                </pic:pic>
              </a:graphicData>
            </a:graphic>
          </wp:inline>
        </w:drawing>
      </w:r>
    </w:p>
    <w:p w14:paraId="272FFBF4" w14:textId="76E1803A" w:rsidR="00DC0FF5" w:rsidRDefault="00DC0FF5" w:rsidP="00925227">
      <w:pPr>
        <w:jc w:val="center"/>
      </w:pPr>
    </w:p>
    <w:p w14:paraId="440137F1" w14:textId="68DC27D2" w:rsidR="00DC0FF5" w:rsidRDefault="00DC0FF5" w:rsidP="00925227">
      <w:pPr>
        <w:jc w:val="center"/>
      </w:pPr>
      <w:r>
        <w:rPr>
          <w:noProof/>
        </w:rPr>
        <w:lastRenderedPageBreak/>
        <w:drawing>
          <wp:inline distT="0" distB="0" distL="0" distR="0" wp14:anchorId="7C03DEF0" wp14:editId="1C1A6253">
            <wp:extent cx="4976941" cy="7772400"/>
            <wp:effectExtent l="19050" t="19050" r="14605" b="190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76941" cy="7772400"/>
                    </a:xfrm>
                    <a:prstGeom prst="rect">
                      <a:avLst/>
                    </a:prstGeom>
                    <a:noFill/>
                    <a:ln>
                      <a:solidFill>
                        <a:schemeClr val="tx1"/>
                      </a:solidFill>
                    </a:ln>
                  </pic:spPr>
                </pic:pic>
              </a:graphicData>
            </a:graphic>
          </wp:inline>
        </w:drawing>
      </w:r>
    </w:p>
    <w:p w14:paraId="60F09328" w14:textId="084A46A4" w:rsidR="00B51C37" w:rsidRDefault="00B51C37" w:rsidP="00925227">
      <w:pPr>
        <w:jc w:val="center"/>
      </w:pPr>
    </w:p>
    <w:p w14:paraId="2484C4A4" w14:textId="77777777" w:rsidR="00B51C37" w:rsidRDefault="00B51C37" w:rsidP="00925227">
      <w:pPr>
        <w:jc w:val="center"/>
      </w:pPr>
    </w:p>
    <w:p w14:paraId="5177E1DA" w14:textId="34152968"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lastRenderedPageBreak/>
        <w:t>...wrote the Bureau of Animal Industry for information about the milk goat industry. He received a bulletin in which Mr. W. A. Shafor was named Secretary. Mr. Darst lost no time in calling on Mr. Shafor to learn more about milk goats and, incidentally, to purchase some stock.</w:t>
      </w:r>
      <w:r>
        <w:rPr>
          <w:rFonts w:ascii="Helvetica" w:hAnsi="Helvetica" w:cs="Helvetica"/>
        </w:rPr>
        <w:t xml:space="preserve"> </w:t>
      </w:r>
      <w:r w:rsidRPr="0022432A">
        <w:rPr>
          <w:rFonts w:ascii="Helvetica" w:hAnsi="Helvetica" w:cs="Helvetica"/>
        </w:rPr>
        <w:t xml:space="preserve">In the meantime, Mr. Shafor proceeded to reveal the whole history of the new organization and its difficulty. Without much ado, he offered to bequeath the whole affair to Mr. Darst, yes, its notoriety, its debts, its work undone, its seemingly last stages of mortal sickness. Mr. Darst agreed to take it as it was." </w:t>
      </w:r>
    </w:p>
    <w:p w14:paraId="7F203C09" w14:textId="77777777" w:rsidR="0022432A" w:rsidRPr="0022432A" w:rsidRDefault="0022432A" w:rsidP="0022432A">
      <w:pPr>
        <w:pStyle w:val="NormalWeb"/>
        <w:spacing w:before="0" w:beforeAutospacing="0" w:after="0" w:afterAutospacing="0"/>
        <w:ind w:left="864" w:right="864"/>
        <w:rPr>
          <w:rFonts w:ascii="Helvetica" w:hAnsi="Helvetica" w:cs="Helvetica"/>
        </w:rPr>
      </w:pPr>
    </w:p>
    <w:p w14:paraId="12AC2F4A"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One of the first acts of Mr. Darst after he became secretary in 1907 was to send out nearly 2000 letters to goatkeepers all over the country, inviting them to join the Association, and to register their stock in it.</w:t>
      </w:r>
    </w:p>
    <w:p w14:paraId="729EF3D6"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Mr. Darst reported that he received answers from over half of the goat breeders contacted.</w:t>
      </w:r>
    </w:p>
    <w:p w14:paraId="56FD3D4B" w14:textId="77777777" w:rsidR="0022432A" w:rsidRPr="0022432A" w:rsidRDefault="0022432A" w:rsidP="0022432A">
      <w:pPr>
        <w:pStyle w:val="NormalWeb"/>
        <w:spacing w:before="0" w:beforeAutospacing="0" w:after="0" w:afterAutospacing="0"/>
        <w:ind w:left="864" w:right="864"/>
        <w:rPr>
          <w:rFonts w:ascii="Helvetica" w:hAnsi="Helvetica" w:cs="Helvetica"/>
        </w:rPr>
      </w:pPr>
    </w:p>
    <w:p w14:paraId="507F2AF8" w14:textId="40F7BB84"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The Preface to Volume I of the registry says:</w:t>
      </w:r>
    </w:p>
    <w:p w14:paraId="39A0414A"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"At the ninth annual meeting of the American Milch Goat Record Association the Secretary was authorized to publish Volume I of the Record. The following circular was sent out to all known breeders and owners of Milch Goats, regardless of whether they owned registered goats or not.</w:t>
      </w:r>
    </w:p>
    <w:p w14:paraId="53F57B83" w14:textId="77777777" w:rsidR="0022432A" w:rsidRPr="0022432A" w:rsidRDefault="0022432A" w:rsidP="0022432A">
      <w:pPr>
        <w:pStyle w:val="NormalWeb"/>
        <w:spacing w:before="0" w:beforeAutospacing="0" w:after="0" w:afterAutospacing="0"/>
        <w:ind w:left="864" w:right="864"/>
        <w:rPr>
          <w:rFonts w:ascii="Helvetica" w:hAnsi="Helvetica" w:cs="Helvetica"/>
        </w:rPr>
      </w:pPr>
    </w:p>
    <w:p w14:paraId="0B90434F"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Dayton, Ohio</w:t>
      </w:r>
    </w:p>
    <w:p w14:paraId="3872E4B3"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January 1, 1914</w:t>
      </w:r>
    </w:p>
    <w:p w14:paraId="2ABC66F1"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Dear Sir:</w:t>
      </w:r>
    </w:p>
    <w:p w14:paraId="18C60312"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We are arranging to publish the first volume of our Record of Milch Goats and want to have it accurate. A great many of our Registered Goats are dead, and some of them have not been reported to me. Many have been sold and the ownership changed. Some of those have not been transferred on the Record. We would kindly ask you to cooperate with us and give us what information you can about any registered goats that you now own, or that you did own formerly, and whom you sold to, any that you know to be dead, etc. Always give name of goat and Register number.</w:t>
      </w:r>
    </w:p>
    <w:p w14:paraId="7F708301" w14:textId="77777777" w:rsidR="0022432A" w:rsidRPr="0022432A" w:rsidRDefault="0022432A" w:rsidP="0022432A">
      <w:pPr>
        <w:pStyle w:val="NormalWeb"/>
        <w:spacing w:before="0" w:beforeAutospacing="0" w:after="0" w:afterAutospacing="0"/>
        <w:ind w:left="864" w:right="864"/>
        <w:rPr>
          <w:rFonts w:ascii="Helvetica" w:hAnsi="Helvetica" w:cs="Helvetica"/>
        </w:rPr>
      </w:pPr>
    </w:p>
    <w:p w14:paraId="1A5EC9C8"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 xml:space="preserve">We have received many responses that caused a number of corrections to be made, but because some did not respond, we were unable to find out what became of their registered stock. It was intended to have this publication as near accurate as possible and we believe it </w:t>
      </w:r>
      <w:proofErr w:type="gramStart"/>
      <w:r w:rsidRPr="0022432A">
        <w:rPr>
          <w:rFonts w:ascii="Helvetica" w:hAnsi="Helvetica" w:cs="Helvetica"/>
        </w:rPr>
        <w:t>is;</w:t>
      </w:r>
      <w:proofErr w:type="gramEnd"/>
      <w:r w:rsidRPr="0022432A">
        <w:rPr>
          <w:rFonts w:ascii="Helvetica" w:hAnsi="Helvetica" w:cs="Helvetica"/>
        </w:rPr>
        <w:t xml:space="preserve"> but, because it was not possible to get it accurate you will find mistakes and discrepancies that will probably be corrected by supplementary publication in some reliable monthly from time to time as the facts are obtained.</w:t>
      </w:r>
    </w:p>
    <w:p w14:paraId="416FC06B" w14:textId="77777777" w:rsidR="0022432A" w:rsidRPr="0022432A" w:rsidRDefault="0022432A" w:rsidP="0022432A">
      <w:pPr>
        <w:pStyle w:val="NormalWeb"/>
        <w:spacing w:before="0" w:beforeAutospacing="0" w:after="0" w:afterAutospacing="0"/>
        <w:ind w:left="864" w:right="864"/>
        <w:rPr>
          <w:rFonts w:ascii="Helvetica" w:hAnsi="Helvetica" w:cs="Helvetica"/>
        </w:rPr>
      </w:pPr>
    </w:p>
    <w:p w14:paraId="77359CA3" w14:textId="77777777"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Our Charter is published in this Volume, for the information of those persons who do not know under what authority we are acting, the reason for, and the continuance of the American Milch Goat Record Association, for the improving of the Milch Goat industry in America.</w:t>
      </w:r>
    </w:p>
    <w:p w14:paraId="5EC71C43" w14:textId="77777777" w:rsidR="0022432A" w:rsidRPr="0022432A" w:rsidRDefault="0022432A" w:rsidP="0022432A">
      <w:pPr>
        <w:pStyle w:val="NormalWeb"/>
        <w:spacing w:before="0" w:beforeAutospacing="0" w:after="0" w:afterAutospacing="0"/>
        <w:ind w:left="864" w:right="864"/>
        <w:rPr>
          <w:rFonts w:ascii="Helvetica" w:hAnsi="Helvetica" w:cs="Helvetica"/>
        </w:rPr>
      </w:pPr>
    </w:p>
    <w:p w14:paraId="2A37189A" w14:textId="60B1688F" w:rsidR="0022432A" w:rsidRPr="0022432A" w:rsidRDefault="0022432A" w:rsidP="0022432A">
      <w:pPr>
        <w:pStyle w:val="NormalWeb"/>
        <w:spacing w:before="0" w:beforeAutospacing="0" w:after="0" w:afterAutospacing="0"/>
        <w:ind w:left="864" w:right="864"/>
        <w:rPr>
          <w:rFonts w:ascii="Helvetica" w:hAnsi="Helvetica" w:cs="Helvetica"/>
        </w:rPr>
      </w:pPr>
      <w:r w:rsidRPr="0022432A">
        <w:rPr>
          <w:rFonts w:ascii="Helvetica" w:hAnsi="Helvetica" w:cs="Helvetica"/>
        </w:rPr>
        <w:t>You will notice that this Association was formed to improve the American Milch Goat, and not to boost any one breed above another, therefore any suggestions to this end are earnestly solicited by the Board of Directors. A Pure Breed Record was desired by some, and action was taken at the ninth annual meeting to this end, and yet not destroy the object of this Association, so we have separated and started a pure breed record, which is herein designated by a separate index.</w:t>
      </w:r>
    </w:p>
    <w:p w14:paraId="7EF9E5C3" w14:textId="3AD53DB3" w:rsidR="0022432A" w:rsidRDefault="0022432A" w:rsidP="00925227">
      <w:pPr>
        <w:jc w:val="center"/>
      </w:pPr>
      <w:r>
        <w:t>-4-</w:t>
      </w:r>
    </w:p>
    <w:p w14:paraId="1BA94CA2" w14:textId="77777777" w:rsidR="00DE5501" w:rsidRDefault="00DE5501" w:rsidP="00DE5501">
      <w:pPr>
        <w:spacing w:after="0" w:line="240" w:lineRule="auto"/>
        <w:ind w:left="864" w:right="864"/>
        <w:rPr>
          <w:rFonts w:ascii="Helvetica" w:hAnsi="Helvetica" w:cs="Helvetica"/>
          <w:sz w:val="20"/>
          <w:szCs w:val="18"/>
        </w:rPr>
      </w:pPr>
    </w:p>
    <w:p w14:paraId="6141DCEE" w14:textId="77777777" w:rsidR="00DE5501" w:rsidRDefault="00DE5501" w:rsidP="00DE5501">
      <w:pPr>
        <w:spacing w:after="0" w:line="240" w:lineRule="auto"/>
        <w:ind w:left="864" w:right="864"/>
        <w:rPr>
          <w:rFonts w:ascii="Helvetica" w:hAnsi="Helvetica" w:cs="Helvetica"/>
          <w:sz w:val="20"/>
          <w:szCs w:val="18"/>
        </w:rPr>
      </w:pPr>
    </w:p>
    <w:p w14:paraId="5396BBEC" w14:textId="77777777" w:rsidR="00DE5501" w:rsidRDefault="00DE5501" w:rsidP="00DE5501">
      <w:pPr>
        <w:spacing w:after="0" w:line="240" w:lineRule="auto"/>
        <w:ind w:left="864" w:right="864"/>
        <w:rPr>
          <w:rFonts w:ascii="Helvetica" w:hAnsi="Helvetica" w:cs="Helvetica"/>
          <w:sz w:val="20"/>
          <w:szCs w:val="18"/>
        </w:rPr>
      </w:pPr>
    </w:p>
    <w:p w14:paraId="143B2FEE" w14:textId="77777777" w:rsidR="00DE5501" w:rsidRDefault="00DE5501" w:rsidP="00DE5501">
      <w:pPr>
        <w:spacing w:after="0" w:line="240" w:lineRule="auto"/>
        <w:ind w:left="864" w:right="864"/>
        <w:rPr>
          <w:rFonts w:ascii="Helvetica" w:hAnsi="Helvetica" w:cs="Helvetica"/>
          <w:sz w:val="20"/>
          <w:szCs w:val="18"/>
        </w:rPr>
      </w:pPr>
    </w:p>
    <w:p w14:paraId="4D59E8C4" w14:textId="77777777" w:rsidR="00DE5501" w:rsidRDefault="00DE5501" w:rsidP="00DE5501">
      <w:pPr>
        <w:spacing w:after="0" w:line="240" w:lineRule="auto"/>
        <w:ind w:left="864" w:right="864"/>
        <w:rPr>
          <w:rFonts w:ascii="Helvetica" w:hAnsi="Helvetica" w:cs="Helvetica"/>
          <w:sz w:val="20"/>
          <w:szCs w:val="18"/>
        </w:rPr>
      </w:pPr>
    </w:p>
    <w:p w14:paraId="24614C79" w14:textId="3DAA67B9"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What are known and designated as Pure Breeds, all trace their origin through our registration, back to importation from Europe. With best wishes for the improvement of the Milch Goat industry, and the fraternal fellowship of all Milch Goat owners, this Volume is dedicated.</w:t>
      </w:r>
    </w:p>
    <w:p w14:paraId="43BF80A5"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J.C. Darst, Secretary, Dayton, Ohio</w:t>
      </w:r>
    </w:p>
    <w:p w14:paraId="24B706BF"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Francis King Cooke, President Winnetka, Illinois"</w:t>
      </w:r>
    </w:p>
    <w:p w14:paraId="1C8A87D5" w14:textId="77777777" w:rsidR="00DE5501" w:rsidRPr="00DE5501" w:rsidRDefault="00DE5501" w:rsidP="00DE5501">
      <w:pPr>
        <w:spacing w:after="0" w:line="240" w:lineRule="auto"/>
        <w:ind w:left="864" w:right="864"/>
        <w:rPr>
          <w:rFonts w:ascii="Helvetica" w:hAnsi="Helvetica" w:cs="Helvetica"/>
          <w:sz w:val="20"/>
          <w:szCs w:val="18"/>
        </w:rPr>
      </w:pPr>
    </w:p>
    <w:p w14:paraId="0989C3EF"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When Volume I was published, it listed 89 members, and almost 900 animals.</w:t>
      </w:r>
    </w:p>
    <w:p w14:paraId="052E5B3B" w14:textId="77777777" w:rsidR="00DE5501" w:rsidRPr="00DE5501" w:rsidRDefault="00DE5501" w:rsidP="00DE5501">
      <w:pPr>
        <w:spacing w:after="0" w:line="240" w:lineRule="auto"/>
        <w:ind w:left="864" w:right="864"/>
        <w:rPr>
          <w:rFonts w:ascii="Helvetica" w:hAnsi="Helvetica" w:cs="Helvetica"/>
          <w:sz w:val="20"/>
          <w:szCs w:val="18"/>
        </w:rPr>
      </w:pPr>
    </w:p>
    <w:p w14:paraId="5E6E8AC6"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"It was not an easy task, and Mr. Darst wanted everything straight and true. He left no clue untraced When he could not be certain about an animal's breeding, then he put the owner on his own dignity.</w:t>
      </w:r>
    </w:p>
    <w:p w14:paraId="51CEAB70" w14:textId="77777777" w:rsidR="00DE5501" w:rsidRPr="00DE5501" w:rsidRDefault="00DE5501" w:rsidP="00DE5501">
      <w:pPr>
        <w:spacing w:after="0" w:line="240" w:lineRule="auto"/>
        <w:ind w:left="864" w:right="864"/>
        <w:rPr>
          <w:rFonts w:ascii="Helvetica" w:hAnsi="Helvetica" w:cs="Helvetica"/>
          <w:sz w:val="20"/>
          <w:szCs w:val="18"/>
        </w:rPr>
      </w:pPr>
    </w:p>
    <w:p w14:paraId="0093DBE8"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"In those early years of registry, about the best to be realized was to trace a goat's pedigree to importation. Those were accredited as purebred. It is different now, for registration papers must accompany an imported goat describing its breeding and credits."</w:t>
      </w:r>
    </w:p>
    <w:p w14:paraId="4367FC31" w14:textId="77777777" w:rsidR="00DE5501" w:rsidRPr="00DE5501" w:rsidRDefault="00DE5501" w:rsidP="00DE5501">
      <w:pPr>
        <w:spacing w:after="0" w:line="240" w:lineRule="auto"/>
        <w:ind w:left="864" w:right="864"/>
        <w:rPr>
          <w:rFonts w:ascii="Helvetica" w:hAnsi="Helvetica" w:cs="Helvetica"/>
          <w:sz w:val="20"/>
          <w:szCs w:val="18"/>
        </w:rPr>
      </w:pPr>
    </w:p>
    <w:p w14:paraId="0742C463"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In 1922, the 'Milch Goat' in the name of the association was changed to 'Milk Goat'. Sixty years after the registry was formed, in 1965, at the urging of William Turnquist, the name of the association was changed from the American Milk Goat Record Association (AMGRA) to the American Dairy Goat Association (ADGA).</w:t>
      </w:r>
    </w:p>
    <w:p w14:paraId="2774CE14" w14:textId="77777777" w:rsidR="00DE5501" w:rsidRPr="00DE5501" w:rsidRDefault="00DE5501" w:rsidP="00DE5501">
      <w:pPr>
        <w:spacing w:after="0" w:line="240" w:lineRule="auto"/>
        <w:ind w:left="864" w:right="864"/>
        <w:rPr>
          <w:rFonts w:ascii="Helvetica" w:hAnsi="Helvetica" w:cs="Helvetica"/>
          <w:sz w:val="20"/>
          <w:szCs w:val="18"/>
        </w:rPr>
      </w:pPr>
    </w:p>
    <w:p w14:paraId="47128D03" w14:textId="77777777" w:rsidR="00DE5501" w:rsidRPr="00DE5501" w:rsidRDefault="00DE5501" w:rsidP="00DE5501">
      <w:pPr>
        <w:numPr>
          <w:ilvl w:val="0"/>
          <w:numId w:val="1"/>
        </w:numPr>
        <w:spacing w:after="0" w:line="240" w:lineRule="auto"/>
        <w:ind w:left="864" w:right="864"/>
        <w:rPr>
          <w:rFonts w:ascii="Helvetica" w:eastAsia="Times New Roman" w:hAnsi="Helvetica" w:cs="Helvetica"/>
          <w:sz w:val="20"/>
          <w:szCs w:val="18"/>
        </w:rPr>
      </w:pPr>
      <w:r w:rsidRPr="00DE5501">
        <w:rPr>
          <w:rFonts w:ascii="Tahoma" w:eastAsia="Times New Roman" w:hAnsi="Tahoma" w:cs="Tahoma"/>
          <w:sz w:val="20"/>
          <w:szCs w:val="18"/>
        </w:rPr>
        <w:t>﻿﻿﻿﻿</w:t>
      </w:r>
      <w:r w:rsidRPr="00DE5501">
        <w:rPr>
          <w:rFonts w:ascii="Helvetica" w:eastAsia="Times New Roman" w:hAnsi="Helvetica" w:cs="Helvetica"/>
          <w:sz w:val="20"/>
          <w:szCs w:val="18"/>
        </w:rPr>
        <w:t>From an article by J. F. Fetter, printed in the American Dairy Goat News, July 1950.</w:t>
      </w:r>
    </w:p>
    <w:p w14:paraId="2DB88B53" w14:textId="77777777" w:rsidR="00DE5501" w:rsidRPr="00DE5501" w:rsidRDefault="00DE5501" w:rsidP="00DE5501">
      <w:pPr>
        <w:numPr>
          <w:ilvl w:val="0"/>
          <w:numId w:val="1"/>
        </w:numPr>
        <w:spacing w:after="0" w:line="240" w:lineRule="auto"/>
        <w:ind w:left="864" w:right="864"/>
        <w:rPr>
          <w:rFonts w:ascii="Helvetica" w:eastAsia="Times New Roman" w:hAnsi="Helvetica" w:cs="Helvetica"/>
          <w:sz w:val="20"/>
          <w:szCs w:val="18"/>
        </w:rPr>
      </w:pPr>
      <w:r w:rsidRPr="00DE5501">
        <w:rPr>
          <w:rFonts w:ascii="Tahoma" w:eastAsia="Times New Roman" w:hAnsi="Tahoma" w:cs="Tahoma"/>
          <w:sz w:val="20"/>
          <w:szCs w:val="18"/>
        </w:rPr>
        <w:t>﻿﻿﻿﻿</w:t>
      </w:r>
      <w:r w:rsidRPr="00DE5501">
        <w:rPr>
          <w:rFonts w:ascii="Helvetica" w:eastAsia="Times New Roman" w:hAnsi="Helvetica" w:cs="Helvetica"/>
          <w:sz w:val="20"/>
          <w:szCs w:val="18"/>
        </w:rPr>
        <w:t>George Fayette Thompson (1860-1906).</w:t>
      </w:r>
    </w:p>
    <w:p w14:paraId="1BC5C3D3" w14:textId="77777777" w:rsidR="00DE5501" w:rsidRPr="00DE5501" w:rsidRDefault="00DE5501" w:rsidP="00DE5501">
      <w:pPr>
        <w:spacing w:after="0" w:line="240" w:lineRule="auto"/>
        <w:ind w:left="864" w:right="864"/>
        <w:rPr>
          <w:rFonts w:ascii="Helvetica" w:hAnsi="Helvetica" w:cs="Helvetica"/>
          <w:sz w:val="20"/>
          <w:szCs w:val="18"/>
        </w:rPr>
      </w:pPr>
    </w:p>
    <w:p w14:paraId="0CF632DF" w14:textId="77777777" w:rsidR="00DE5501" w:rsidRP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Eleven individual writings are recorded by the Library of Congress.</w:t>
      </w:r>
    </w:p>
    <w:p w14:paraId="5C0A57D9" w14:textId="77777777" w:rsidR="00DE5501" w:rsidRPr="00DE5501" w:rsidRDefault="00DE5501" w:rsidP="00DE5501">
      <w:pPr>
        <w:spacing w:after="0" w:line="240" w:lineRule="auto"/>
        <w:ind w:left="864" w:right="864"/>
        <w:rPr>
          <w:rFonts w:ascii="Helvetica" w:hAnsi="Helvetica" w:cs="Helvetica"/>
          <w:sz w:val="20"/>
          <w:szCs w:val="18"/>
        </w:rPr>
      </w:pPr>
    </w:p>
    <w:p w14:paraId="446CCB55" w14:textId="77777777" w:rsidR="00F1593F"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 xml:space="preserve">The major work of interest </w:t>
      </w:r>
      <w:proofErr w:type="gramStart"/>
      <w:r w:rsidRPr="00DE5501">
        <w:rPr>
          <w:rFonts w:ascii="Helvetica" w:hAnsi="Helvetica" w:cs="Helvetica"/>
          <w:sz w:val="20"/>
          <w:szCs w:val="18"/>
        </w:rPr>
        <w:t>is:</w:t>
      </w:r>
      <w:proofErr w:type="gramEnd"/>
      <w:r w:rsidRPr="00DE5501">
        <w:rPr>
          <w:rFonts w:ascii="Helvetica" w:hAnsi="Helvetica" w:cs="Helvetica"/>
          <w:sz w:val="20"/>
          <w:szCs w:val="18"/>
        </w:rPr>
        <w:t xml:space="preserve"> Bureau of Animal Industry, Bulletin #68, "Information Concerning the Milch Goat, " 87 pages, gloss print, with 16 photographs, published in </w:t>
      </w:r>
    </w:p>
    <w:p w14:paraId="13D8FA93" w14:textId="2A57E7E0" w:rsidR="00DE5501" w:rsidRDefault="00DE5501" w:rsidP="00DE5501">
      <w:pPr>
        <w:spacing w:after="0" w:line="240" w:lineRule="auto"/>
        <w:ind w:left="864" w:right="864"/>
        <w:rPr>
          <w:rFonts w:ascii="Helvetica" w:hAnsi="Helvetica" w:cs="Helvetica"/>
          <w:sz w:val="20"/>
          <w:szCs w:val="18"/>
        </w:rPr>
      </w:pPr>
      <w:r w:rsidRPr="00DE5501">
        <w:rPr>
          <w:rFonts w:ascii="Helvetica" w:hAnsi="Helvetica" w:cs="Helvetica"/>
          <w:sz w:val="20"/>
          <w:szCs w:val="18"/>
        </w:rPr>
        <w:t>1905.</w:t>
      </w:r>
    </w:p>
    <w:p w14:paraId="0967455C" w14:textId="59DC8AC0" w:rsidR="00F1593F" w:rsidRDefault="00F1593F" w:rsidP="00DE5501">
      <w:pPr>
        <w:spacing w:after="0" w:line="240" w:lineRule="auto"/>
        <w:ind w:left="864" w:right="864"/>
        <w:rPr>
          <w:rFonts w:ascii="Helvetica" w:hAnsi="Helvetica" w:cs="Helvetica"/>
          <w:sz w:val="20"/>
          <w:szCs w:val="18"/>
        </w:rPr>
      </w:pPr>
    </w:p>
    <w:p w14:paraId="7CC3C7A8" w14:textId="63DB3BEB" w:rsidR="00F1593F" w:rsidRPr="00DE5501" w:rsidRDefault="00F1593F" w:rsidP="00F1593F">
      <w:pPr>
        <w:spacing w:after="0" w:line="240" w:lineRule="auto"/>
        <w:ind w:left="864" w:right="864"/>
        <w:jc w:val="center"/>
        <w:rPr>
          <w:rFonts w:ascii="Helvetica" w:hAnsi="Helvetica" w:cs="Helvetica"/>
          <w:sz w:val="20"/>
          <w:szCs w:val="18"/>
        </w:rPr>
      </w:pPr>
      <w:r>
        <w:rPr>
          <w:rFonts w:ascii="Helvetica" w:hAnsi="Helvetica" w:cs="Helvetica"/>
          <w:sz w:val="20"/>
          <w:szCs w:val="18"/>
        </w:rPr>
        <w:t>-5-</w:t>
      </w:r>
    </w:p>
    <w:p w14:paraId="21ACC875" w14:textId="77777777" w:rsidR="005B4871" w:rsidRDefault="005B4871" w:rsidP="00925227">
      <w:pPr>
        <w:jc w:val="center"/>
      </w:pPr>
    </w:p>
    <w:p w14:paraId="63E09C33" w14:textId="77777777" w:rsidR="005B4871" w:rsidRDefault="005B4871" w:rsidP="00925227">
      <w:pPr>
        <w:jc w:val="center"/>
      </w:pPr>
    </w:p>
    <w:p w14:paraId="79F00EF5" w14:textId="1E0A749B" w:rsidR="00DC0FF5" w:rsidRDefault="00DC0FF5" w:rsidP="00925227">
      <w:pPr>
        <w:jc w:val="center"/>
      </w:pPr>
      <w:r>
        <w:rPr>
          <w:noProof/>
        </w:rPr>
        <w:lastRenderedPageBreak/>
        <w:drawing>
          <wp:inline distT="0" distB="0" distL="0" distR="0" wp14:anchorId="43E599F3" wp14:editId="2B7C047F">
            <wp:extent cx="5024588" cy="7772400"/>
            <wp:effectExtent l="19050" t="19050" r="24130" b="190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4588" cy="7772400"/>
                    </a:xfrm>
                    <a:prstGeom prst="rect">
                      <a:avLst/>
                    </a:prstGeom>
                    <a:noFill/>
                    <a:ln>
                      <a:solidFill>
                        <a:schemeClr val="tx1"/>
                      </a:solidFill>
                    </a:ln>
                  </pic:spPr>
                </pic:pic>
              </a:graphicData>
            </a:graphic>
          </wp:inline>
        </w:drawing>
      </w:r>
    </w:p>
    <w:p w14:paraId="12281DB3" w14:textId="28082921" w:rsidR="00185999" w:rsidRDefault="00185999" w:rsidP="00925227">
      <w:pPr>
        <w:jc w:val="center"/>
      </w:pPr>
    </w:p>
    <w:p w14:paraId="5C1EAD4E" w14:textId="141059A5" w:rsidR="00185999" w:rsidRDefault="00185999" w:rsidP="00925227">
      <w:pPr>
        <w:jc w:val="center"/>
      </w:pPr>
      <w:r>
        <w:rPr>
          <w:noProof/>
        </w:rPr>
        <w:lastRenderedPageBreak/>
        <w:drawing>
          <wp:inline distT="0" distB="0" distL="0" distR="0" wp14:anchorId="1F02C25C" wp14:editId="5255AD19">
            <wp:extent cx="4998416" cy="7772400"/>
            <wp:effectExtent l="19050" t="19050" r="12065" b="190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98416" cy="7772400"/>
                    </a:xfrm>
                    <a:prstGeom prst="rect">
                      <a:avLst/>
                    </a:prstGeom>
                    <a:noFill/>
                    <a:ln>
                      <a:solidFill>
                        <a:schemeClr val="tx1"/>
                      </a:solidFill>
                    </a:ln>
                  </pic:spPr>
                </pic:pic>
              </a:graphicData>
            </a:graphic>
          </wp:inline>
        </w:drawing>
      </w:r>
    </w:p>
    <w:p w14:paraId="524BC3C4" w14:textId="3FA21237" w:rsidR="00185999" w:rsidRDefault="00185999" w:rsidP="00925227">
      <w:pPr>
        <w:jc w:val="center"/>
      </w:pPr>
    </w:p>
    <w:p w14:paraId="47A1A3EB" w14:textId="5C41F758" w:rsidR="00185999" w:rsidRDefault="00185999" w:rsidP="00925227">
      <w:pPr>
        <w:jc w:val="center"/>
      </w:pPr>
      <w:r>
        <w:rPr>
          <w:noProof/>
        </w:rPr>
        <w:lastRenderedPageBreak/>
        <w:drawing>
          <wp:inline distT="0" distB="0" distL="0" distR="0" wp14:anchorId="7269FF88" wp14:editId="75269E9E">
            <wp:extent cx="5042269" cy="7772400"/>
            <wp:effectExtent l="19050" t="19050" r="25400" b="190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2269" cy="7772400"/>
                    </a:xfrm>
                    <a:prstGeom prst="rect">
                      <a:avLst/>
                    </a:prstGeom>
                    <a:noFill/>
                    <a:ln>
                      <a:solidFill>
                        <a:schemeClr val="tx1"/>
                      </a:solidFill>
                    </a:ln>
                  </pic:spPr>
                </pic:pic>
              </a:graphicData>
            </a:graphic>
          </wp:inline>
        </w:drawing>
      </w:r>
    </w:p>
    <w:p w14:paraId="02AE0C3A" w14:textId="7BCD4D76" w:rsidR="00925227" w:rsidRDefault="00185999" w:rsidP="00925227">
      <w:pPr>
        <w:jc w:val="center"/>
      </w:pPr>
      <w:r>
        <w:rPr>
          <w:noProof/>
        </w:rPr>
        <w:lastRenderedPageBreak/>
        <w:drawing>
          <wp:inline distT="0" distB="0" distL="0" distR="0" wp14:anchorId="2325BBD1" wp14:editId="0EF469C0">
            <wp:extent cx="4976941" cy="7772400"/>
            <wp:effectExtent l="19050" t="19050" r="14605" b="190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76941" cy="7772400"/>
                    </a:xfrm>
                    <a:prstGeom prst="rect">
                      <a:avLst/>
                    </a:prstGeom>
                    <a:noFill/>
                    <a:ln>
                      <a:solidFill>
                        <a:schemeClr val="tx1"/>
                      </a:solidFill>
                    </a:ln>
                  </pic:spPr>
                </pic:pic>
              </a:graphicData>
            </a:graphic>
          </wp:inline>
        </w:drawing>
      </w:r>
    </w:p>
    <w:p w14:paraId="0E2191BF" w14:textId="38E0F2D3" w:rsidR="00584197" w:rsidRDefault="00584197" w:rsidP="00925227">
      <w:pPr>
        <w:jc w:val="center"/>
      </w:pPr>
    </w:p>
    <w:p w14:paraId="28D06976" w14:textId="28421CE8" w:rsidR="00584197" w:rsidRDefault="00584197" w:rsidP="00925227">
      <w:pPr>
        <w:jc w:val="center"/>
      </w:pPr>
      <w:r>
        <w:rPr>
          <w:noProof/>
        </w:rPr>
        <w:lastRenderedPageBreak/>
        <w:drawing>
          <wp:inline distT="0" distB="0" distL="0" distR="0" wp14:anchorId="5DA47B4A" wp14:editId="22F749D7">
            <wp:extent cx="5003081" cy="7772400"/>
            <wp:effectExtent l="19050" t="19050" r="26670" b="190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03081" cy="7772400"/>
                    </a:xfrm>
                    <a:prstGeom prst="rect">
                      <a:avLst/>
                    </a:prstGeom>
                    <a:noFill/>
                    <a:ln>
                      <a:solidFill>
                        <a:schemeClr val="tx1"/>
                      </a:solidFill>
                    </a:ln>
                  </pic:spPr>
                </pic:pic>
              </a:graphicData>
            </a:graphic>
          </wp:inline>
        </w:drawing>
      </w:r>
    </w:p>
    <w:p w14:paraId="0B5BA6C2" w14:textId="561915F9" w:rsidR="00584197" w:rsidRDefault="00584197" w:rsidP="00925227">
      <w:pPr>
        <w:jc w:val="center"/>
      </w:pPr>
    </w:p>
    <w:p w14:paraId="1B6CE5D3" w14:textId="3F8376F0" w:rsidR="00584197" w:rsidRDefault="00584197" w:rsidP="00925227">
      <w:pPr>
        <w:jc w:val="center"/>
      </w:pPr>
      <w:r>
        <w:rPr>
          <w:noProof/>
        </w:rPr>
        <w:lastRenderedPageBreak/>
        <w:drawing>
          <wp:inline distT="0" distB="0" distL="0" distR="0" wp14:anchorId="73B8B565" wp14:editId="4508E73A">
            <wp:extent cx="5016128" cy="7772400"/>
            <wp:effectExtent l="19050" t="19050" r="13335" b="190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16128" cy="7772400"/>
                    </a:xfrm>
                    <a:prstGeom prst="rect">
                      <a:avLst/>
                    </a:prstGeom>
                    <a:noFill/>
                    <a:ln>
                      <a:solidFill>
                        <a:schemeClr val="tx1"/>
                      </a:solidFill>
                    </a:ln>
                  </pic:spPr>
                </pic:pic>
              </a:graphicData>
            </a:graphic>
          </wp:inline>
        </w:drawing>
      </w:r>
    </w:p>
    <w:p w14:paraId="61668CAE" w14:textId="362FDE08" w:rsidR="00185999" w:rsidRDefault="00185999" w:rsidP="00925227">
      <w:pPr>
        <w:jc w:val="center"/>
      </w:pPr>
    </w:p>
    <w:p w14:paraId="6565A52E" w14:textId="07F35C96" w:rsidR="00185999" w:rsidRDefault="00185999" w:rsidP="00925227">
      <w:pPr>
        <w:jc w:val="center"/>
      </w:pPr>
      <w:r>
        <w:rPr>
          <w:noProof/>
        </w:rPr>
        <w:lastRenderedPageBreak/>
        <w:drawing>
          <wp:inline distT="0" distB="0" distL="0" distR="0" wp14:anchorId="60D3BFCC" wp14:editId="1AA6250C">
            <wp:extent cx="5076910" cy="7772400"/>
            <wp:effectExtent l="19050" t="19050" r="28575"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76910" cy="7772400"/>
                    </a:xfrm>
                    <a:prstGeom prst="rect">
                      <a:avLst/>
                    </a:prstGeom>
                    <a:noFill/>
                    <a:ln>
                      <a:solidFill>
                        <a:schemeClr val="tx1"/>
                      </a:solidFill>
                    </a:ln>
                  </pic:spPr>
                </pic:pic>
              </a:graphicData>
            </a:graphic>
          </wp:inline>
        </w:drawing>
      </w:r>
    </w:p>
    <w:p w14:paraId="1E33ADFA" w14:textId="3FA60E3C" w:rsidR="00185999" w:rsidRDefault="00185999" w:rsidP="00925227">
      <w:pPr>
        <w:jc w:val="center"/>
      </w:pPr>
    </w:p>
    <w:p w14:paraId="607CF966" w14:textId="3176A523" w:rsidR="00185999" w:rsidRDefault="00185999" w:rsidP="00925227">
      <w:pPr>
        <w:jc w:val="center"/>
      </w:pPr>
      <w:r>
        <w:rPr>
          <w:noProof/>
        </w:rPr>
        <w:lastRenderedPageBreak/>
        <w:drawing>
          <wp:inline distT="0" distB="0" distL="0" distR="0" wp14:anchorId="10313FDB" wp14:editId="36F26FFB">
            <wp:extent cx="4985329" cy="7772400"/>
            <wp:effectExtent l="19050" t="19050" r="25400" b="190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85329" cy="7772400"/>
                    </a:xfrm>
                    <a:prstGeom prst="rect">
                      <a:avLst/>
                    </a:prstGeom>
                    <a:noFill/>
                    <a:ln>
                      <a:solidFill>
                        <a:schemeClr val="tx1"/>
                      </a:solidFill>
                    </a:ln>
                  </pic:spPr>
                </pic:pic>
              </a:graphicData>
            </a:graphic>
          </wp:inline>
        </w:drawing>
      </w:r>
    </w:p>
    <w:p w14:paraId="2FAA024A" w14:textId="28268ACE" w:rsidR="00584197" w:rsidRDefault="00584197" w:rsidP="00925227">
      <w:pPr>
        <w:jc w:val="center"/>
      </w:pPr>
    </w:p>
    <w:p w14:paraId="69A7C3F8" w14:textId="7ECBBB26" w:rsidR="00584197" w:rsidRDefault="00584197" w:rsidP="00925227">
      <w:pPr>
        <w:jc w:val="center"/>
      </w:pPr>
      <w:r>
        <w:rPr>
          <w:noProof/>
        </w:rPr>
        <w:lastRenderedPageBreak/>
        <w:drawing>
          <wp:inline distT="0" distB="0" distL="0" distR="0" wp14:anchorId="1A8BAE10" wp14:editId="53B19878">
            <wp:extent cx="5168514" cy="7772400"/>
            <wp:effectExtent l="19050" t="19050" r="13335" b="190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68514" cy="7772400"/>
                    </a:xfrm>
                    <a:prstGeom prst="rect">
                      <a:avLst/>
                    </a:prstGeom>
                    <a:noFill/>
                    <a:ln>
                      <a:solidFill>
                        <a:schemeClr val="tx1"/>
                      </a:solidFill>
                    </a:ln>
                  </pic:spPr>
                </pic:pic>
              </a:graphicData>
            </a:graphic>
          </wp:inline>
        </w:drawing>
      </w:r>
    </w:p>
    <w:p w14:paraId="68D79325" w14:textId="3134D37A" w:rsidR="00584197" w:rsidRDefault="00584197" w:rsidP="00925227">
      <w:pPr>
        <w:jc w:val="center"/>
      </w:pPr>
    </w:p>
    <w:p w14:paraId="52A1AB69" w14:textId="4F45AD47" w:rsidR="00584197" w:rsidRDefault="00584197" w:rsidP="00925227">
      <w:pPr>
        <w:jc w:val="center"/>
      </w:pPr>
      <w:r>
        <w:rPr>
          <w:noProof/>
        </w:rPr>
        <w:lastRenderedPageBreak/>
        <w:drawing>
          <wp:inline distT="0" distB="0" distL="0" distR="0" wp14:anchorId="1B602C86" wp14:editId="599ECDDB">
            <wp:extent cx="4846331" cy="7772400"/>
            <wp:effectExtent l="19050" t="19050" r="11430" b="190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46331" cy="7772400"/>
                    </a:xfrm>
                    <a:prstGeom prst="rect">
                      <a:avLst/>
                    </a:prstGeom>
                    <a:noFill/>
                    <a:ln>
                      <a:solidFill>
                        <a:schemeClr val="tx1"/>
                      </a:solidFill>
                    </a:ln>
                  </pic:spPr>
                </pic:pic>
              </a:graphicData>
            </a:graphic>
          </wp:inline>
        </w:drawing>
      </w:r>
    </w:p>
    <w:p w14:paraId="3F155C54" w14:textId="3183CCB2" w:rsidR="00584197" w:rsidRDefault="00584197" w:rsidP="00925227">
      <w:pPr>
        <w:jc w:val="center"/>
      </w:pPr>
    </w:p>
    <w:p w14:paraId="28509BC3" w14:textId="744BCB48" w:rsidR="00584197" w:rsidRDefault="00584197" w:rsidP="00925227">
      <w:pPr>
        <w:jc w:val="center"/>
      </w:pPr>
      <w:r>
        <w:rPr>
          <w:noProof/>
        </w:rPr>
        <w:lastRenderedPageBreak/>
        <w:drawing>
          <wp:inline distT="0" distB="0" distL="0" distR="0" wp14:anchorId="00905AE1" wp14:editId="7BC52401">
            <wp:extent cx="5120644" cy="7772400"/>
            <wp:effectExtent l="19050" t="19050" r="22860" b="190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20644" cy="7772400"/>
                    </a:xfrm>
                    <a:prstGeom prst="rect">
                      <a:avLst/>
                    </a:prstGeom>
                    <a:noFill/>
                    <a:ln>
                      <a:solidFill>
                        <a:schemeClr val="tx1"/>
                      </a:solidFill>
                    </a:ln>
                  </pic:spPr>
                </pic:pic>
              </a:graphicData>
            </a:graphic>
          </wp:inline>
        </w:drawing>
      </w:r>
    </w:p>
    <w:p w14:paraId="1AC28637" w14:textId="33A3A59A" w:rsidR="00584197" w:rsidRDefault="00584197" w:rsidP="00925227">
      <w:pPr>
        <w:jc w:val="center"/>
      </w:pPr>
    </w:p>
    <w:p w14:paraId="2814D293" w14:textId="22A170A0" w:rsidR="00584197" w:rsidRDefault="00B51C37" w:rsidP="00925227">
      <w:pPr>
        <w:jc w:val="center"/>
      </w:pPr>
      <w:r>
        <w:rPr>
          <w:noProof/>
        </w:rPr>
        <w:lastRenderedPageBreak/>
        <w:drawing>
          <wp:inline distT="0" distB="0" distL="0" distR="0" wp14:anchorId="36A9D7E1" wp14:editId="512BED67">
            <wp:extent cx="4872448" cy="7772400"/>
            <wp:effectExtent l="19050" t="19050" r="23495" b="190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72448" cy="7772400"/>
                    </a:xfrm>
                    <a:prstGeom prst="rect">
                      <a:avLst/>
                    </a:prstGeom>
                    <a:noFill/>
                    <a:ln>
                      <a:solidFill>
                        <a:schemeClr val="tx1"/>
                      </a:solidFill>
                    </a:ln>
                  </pic:spPr>
                </pic:pic>
              </a:graphicData>
            </a:graphic>
          </wp:inline>
        </w:drawing>
      </w:r>
    </w:p>
    <w:p w14:paraId="266A7B80" w14:textId="5E109B04" w:rsidR="00B51C37" w:rsidRDefault="00B51C37" w:rsidP="00925227">
      <w:pPr>
        <w:jc w:val="center"/>
      </w:pPr>
    </w:p>
    <w:p w14:paraId="3E17C72A" w14:textId="1788BDF9" w:rsidR="00B51C37" w:rsidRDefault="00B51C37" w:rsidP="00925227">
      <w:pPr>
        <w:jc w:val="center"/>
      </w:pPr>
      <w:r>
        <w:rPr>
          <w:noProof/>
        </w:rPr>
        <w:lastRenderedPageBreak/>
        <w:drawing>
          <wp:inline distT="0" distB="0" distL="0" distR="0" wp14:anchorId="5C64678B" wp14:editId="14BB882D">
            <wp:extent cx="5120644" cy="7772400"/>
            <wp:effectExtent l="19050" t="19050" r="22860" b="190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20644" cy="7772400"/>
                    </a:xfrm>
                    <a:prstGeom prst="rect">
                      <a:avLst/>
                    </a:prstGeom>
                    <a:noFill/>
                    <a:ln>
                      <a:solidFill>
                        <a:schemeClr val="tx1"/>
                      </a:solidFill>
                    </a:ln>
                  </pic:spPr>
                </pic:pic>
              </a:graphicData>
            </a:graphic>
          </wp:inline>
        </w:drawing>
      </w:r>
    </w:p>
    <w:p w14:paraId="73ECAE94" w14:textId="59F25BA6" w:rsidR="00B51C37" w:rsidRDefault="00B51C37" w:rsidP="00925227">
      <w:pPr>
        <w:jc w:val="center"/>
      </w:pPr>
    </w:p>
    <w:p w14:paraId="41B2E11F" w14:textId="6EDAF263" w:rsidR="00B51C37" w:rsidRDefault="00B51C37" w:rsidP="00925227">
      <w:pPr>
        <w:jc w:val="center"/>
      </w:pPr>
      <w:r>
        <w:rPr>
          <w:noProof/>
        </w:rPr>
        <w:lastRenderedPageBreak/>
        <w:drawing>
          <wp:inline distT="0" distB="0" distL="0" distR="0" wp14:anchorId="459BA52B" wp14:editId="1EFC63C3">
            <wp:extent cx="4898566" cy="7772400"/>
            <wp:effectExtent l="19050" t="19050" r="16510" b="190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898566" cy="7772400"/>
                    </a:xfrm>
                    <a:prstGeom prst="rect">
                      <a:avLst/>
                    </a:prstGeom>
                    <a:noFill/>
                    <a:ln>
                      <a:solidFill>
                        <a:schemeClr val="tx1"/>
                      </a:solidFill>
                    </a:ln>
                  </pic:spPr>
                </pic:pic>
              </a:graphicData>
            </a:graphic>
          </wp:inline>
        </w:drawing>
      </w:r>
    </w:p>
    <w:p w14:paraId="6091B7D9" w14:textId="5146F1A6" w:rsidR="00B51C37" w:rsidRDefault="00B51C37" w:rsidP="00925227">
      <w:pPr>
        <w:jc w:val="center"/>
      </w:pPr>
    </w:p>
    <w:p w14:paraId="29B143C6" w14:textId="4D04F26B" w:rsidR="00B51C37" w:rsidRDefault="00B51C37" w:rsidP="00925227">
      <w:pPr>
        <w:jc w:val="center"/>
      </w:pPr>
      <w:r>
        <w:rPr>
          <w:noProof/>
        </w:rPr>
        <w:lastRenderedPageBreak/>
        <w:drawing>
          <wp:inline distT="0" distB="0" distL="0" distR="0" wp14:anchorId="77A4BCF5" wp14:editId="10D6E5D5">
            <wp:extent cx="5107574" cy="7772400"/>
            <wp:effectExtent l="19050" t="19050" r="17145" b="190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07574" cy="7772400"/>
                    </a:xfrm>
                    <a:prstGeom prst="rect">
                      <a:avLst/>
                    </a:prstGeom>
                    <a:noFill/>
                    <a:ln>
                      <a:solidFill>
                        <a:schemeClr val="tx1"/>
                      </a:solidFill>
                    </a:ln>
                  </pic:spPr>
                </pic:pic>
              </a:graphicData>
            </a:graphic>
          </wp:inline>
        </w:drawing>
      </w:r>
    </w:p>
    <w:p w14:paraId="51D4C897" w14:textId="6B20265D" w:rsidR="00B51C37" w:rsidRDefault="00B51C37" w:rsidP="00925227">
      <w:pPr>
        <w:jc w:val="center"/>
      </w:pPr>
    </w:p>
    <w:p w14:paraId="4B6CB200" w14:textId="3358986C" w:rsidR="00B51C37" w:rsidRDefault="00B51C37" w:rsidP="00925227">
      <w:pPr>
        <w:jc w:val="center"/>
      </w:pPr>
      <w:r>
        <w:rPr>
          <w:noProof/>
        </w:rPr>
        <w:lastRenderedPageBreak/>
        <w:drawing>
          <wp:inline distT="0" distB="0" distL="0" distR="0" wp14:anchorId="38E7A076" wp14:editId="663103B3">
            <wp:extent cx="4937753" cy="7772400"/>
            <wp:effectExtent l="19050" t="19050" r="15875" b="190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37753" cy="7772400"/>
                    </a:xfrm>
                    <a:prstGeom prst="rect">
                      <a:avLst/>
                    </a:prstGeom>
                    <a:noFill/>
                    <a:ln>
                      <a:solidFill>
                        <a:schemeClr val="tx1"/>
                      </a:solidFill>
                    </a:ln>
                  </pic:spPr>
                </pic:pic>
              </a:graphicData>
            </a:graphic>
          </wp:inline>
        </w:drawing>
      </w:r>
    </w:p>
    <w:p w14:paraId="7573F1D1" w14:textId="77777777" w:rsidR="00925227" w:rsidRDefault="00925227" w:rsidP="00925227">
      <w:pPr>
        <w:jc w:val="center"/>
      </w:pPr>
    </w:p>
    <w:p w14:paraId="2D9258DA" w14:textId="77777777" w:rsidR="00925227" w:rsidRDefault="00925227"/>
    <w:sectPr w:rsidR="00925227" w:rsidSect="0022432A">
      <w:pgSz w:w="12240" w:h="15840"/>
      <w:pgMar w:top="1080" w:right="1440" w:bottom="108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A45AB0"/>
    <w:multiLevelType w:val="multilevel"/>
    <w:tmpl w:val="ADEE24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5766687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D3D"/>
    <w:rsid w:val="000F446A"/>
    <w:rsid w:val="00185999"/>
    <w:rsid w:val="0022432A"/>
    <w:rsid w:val="002D7309"/>
    <w:rsid w:val="003D6D3D"/>
    <w:rsid w:val="004E4FB0"/>
    <w:rsid w:val="00584197"/>
    <w:rsid w:val="005B4871"/>
    <w:rsid w:val="006959DB"/>
    <w:rsid w:val="00817B15"/>
    <w:rsid w:val="00925227"/>
    <w:rsid w:val="00B51C37"/>
    <w:rsid w:val="00BE49DF"/>
    <w:rsid w:val="00C230F3"/>
    <w:rsid w:val="00DC0FF5"/>
    <w:rsid w:val="00DE5501"/>
    <w:rsid w:val="00EB2C2D"/>
    <w:rsid w:val="00F15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956C2"/>
  <w15:chartTrackingRefBased/>
  <w15:docId w15:val="{C205E981-B8C2-46A4-971F-9FAF729EA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432A"/>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20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25</Pages>
  <Words>710</Words>
  <Characters>4051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Thompson</dc:creator>
  <cp:keywords/>
  <dc:description/>
  <cp:lastModifiedBy>James Thompson</cp:lastModifiedBy>
  <cp:revision>4</cp:revision>
  <dcterms:created xsi:type="dcterms:W3CDTF">2022-12-19T03:53:00Z</dcterms:created>
  <dcterms:modified xsi:type="dcterms:W3CDTF">2023-01-03T20:52:00Z</dcterms:modified>
</cp:coreProperties>
</file>